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A9" w:rsidRDefault="00E323A9" w:rsidP="00D40A1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-679450</wp:posOffset>
                </wp:positionV>
                <wp:extent cx="1143000" cy="762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323A9" w:rsidRDefault="00E323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CBCB4" wp14:editId="7EC4D4C4">
                                  <wp:extent cx="919480" cy="664210"/>
                                  <wp:effectExtent l="0" t="0" r="0" b="254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0B86104-E103-41AE-8D27-7E00FCAE7F9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0B86104-E103-41AE-8D27-7E00FCAE7F9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948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pt;margin-top:-53.5pt;width:90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" fillcolor="white [3201]" strokecolor="white [3212]" strokeweight=".5pt">
                <v:textbox>
                  <w:txbxContent>
                    <w:p w:rsidR="00E323A9" w:rsidRDefault="00E323A9">
                      <w:r>
                        <w:rPr>
                          <w:noProof/>
                        </w:rPr>
                        <w:drawing>
                          <wp:inline distT="0" distB="0" distL="0" distR="0" wp14:anchorId="744CBCB4" wp14:editId="7EC4D4C4">
                            <wp:extent cx="919480" cy="664210"/>
                            <wp:effectExtent l="0" t="0" r="0" b="254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0B86104-E103-41AE-8D27-7E00FCAE7F9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20B86104-E103-41AE-8D27-7E00FCAE7F9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9480" cy="66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2415540" cy="7086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323A9" w:rsidRDefault="00E323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C4B91" wp14:editId="17E438AD">
                                  <wp:extent cx="2051184" cy="548640"/>
                                  <wp:effectExtent l="0" t="0" r="6350" b="3810"/>
                                  <wp:docPr id="7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94EC6A7-3E87-48EF-BEF6-B39604841B5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94EC6A7-3E87-48EF-BEF6-B39604841B5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4878" cy="549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-48.8pt;width:190.2pt;height:5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" fillcolor="white [3201]" strokecolor="white [3212]" strokeweight=".5pt">
                <v:textbox>
                  <w:txbxContent>
                    <w:p w:rsidR="00E323A9" w:rsidRDefault="00E323A9">
                      <w:r>
                        <w:rPr>
                          <w:noProof/>
                        </w:rPr>
                        <w:drawing>
                          <wp:inline distT="0" distB="0" distL="0" distR="0" wp14:anchorId="02FC4B91" wp14:editId="17E438AD">
                            <wp:extent cx="2051184" cy="548640"/>
                            <wp:effectExtent l="0" t="0" r="6350" b="3810"/>
                            <wp:docPr id="7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94EC6A7-3E87-48EF-BEF6-B39604841B5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D94EC6A7-3E87-48EF-BEF6-B39604841B58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4878" cy="549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0A11" w:rsidRDefault="00D40A11" w:rsidP="00E323A9">
      <w:pPr>
        <w:jc w:val="center"/>
        <w:rPr>
          <w:b/>
          <w:sz w:val="24"/>
          <w:szCs w:val="24"/>
        </w:rPr>
      </w:pPr>
      <w:r w:rsidRPr="00D40A11">
        <w:rPr>
          <w:b/>
          <w:sz w:val="24"/>
          <w:szCs w:val="24"/>
        </w:rPr>
        <w:t xml:space="preserve">Teacher Notes – </w:t>
      </w:r>
      <w:r w:rsidR="00CC5C43">
        <w:rPr>
          <w:b/>
          <w:sz w:val="24"/>
          <w:szCs w:val="24"/>
        </w:rPr>
        <w:t>Fenlands</w:t>
      </w:r>
    </w:p>
    <w:p w:rsidR="00D40A11" w:rsidRDefault="00D40A11" w:rsidP="00025DC5">
      <w:pPr>
        <w:jc w:val="both"/>
        <w:rPr>
          <w:sz w:val="24"/>
          <w:szCs w:val="24"/>
        </w:rPr>
      </w:pPr>
      <w:r w:rsidRPr="00D40A11">
        <w:rPr>
          <w:sz w:val="24"/>
          <w:szCs w:val="24"/>
        </w:rPr>
        <w:t xml:space="preserve">This </w:t>
      </w:r>
      <w:r w:rsidR="006E4496">
        <w:rPr>
          <w:sz w:val="24"/>
          <w:szCs w:val="24"/>
        </w:rPr>
        <w:t>activity pack</w:t>
      </w:r>
      <w:r w:rsidRPr="00D40A11">
        <w:rPr>
          <w:sz w:val="24"/>
          <w:szCs w:val="24"/>
        </w:rPr>
        <w:t xml:space="preserve"> </w:t>
      </w:r>
      <w:r w:rsidR="007F2333">
        <w:rPr>
          <w:sz w:val="24"/>
          <w:szCs w:val="24"/>
        </w:rPr>
        <w:t xml:space="preserve">developed by the Association of Drainage Authorities in collaboration with LEAF Education </w:t>
      </w:r>
      <w:r w:rsidRPr="00D40A11">
        <w:rPr>
          <w:sz w:val="24"/>
          <w:szCs w:val="24"/>
        </w:rPr>
        <w:t xml:space="preserve">has a number of </w:t>
      </w:r>
      <w:r w:rsidR="006E4496">
        <w:rPr>
          <w:sz w:val="24"/>
          <w:szCs w:val="24"/>
        </w:rPr>
        <w:t>resources</w:t>
      </w:r>
      <w:r w:rsidRPr="00D40A11">
        <w:rPr>
          <w:sz w:val="24"/>
          <w:szCs w:val="24"/>
        </w:rPr>
        <w:t xml:space="preserve"> that can be used to deliver a</w:t>
      </w:r>
      <w:r w:rsidR="007F2333">
        <w:rPr>
          <w:sz w:val="24"/>
          <w:szCs w:val="24"/>
        </w:rPr>
        <w:t xml:space="preserve"> whole</w:t>
      </w:r>
      <w:r w:rsidRPr="00D40A11">
        <w:rPr>
          <w:sz w:val="24"/>
          <w:szCs w:val="24"/>
        </w:rPr>
        <w:t xml:space="preserve"> case</w:t>
      </w:r>
      <w:r>
        <w:rPr>
          <w:sz w:val="24"/>
          <w:szCs w:val="24"/>
        </w:rPr>
        <w:t xml:space="preserve"> </w:t>
      </w:r>
      <w:r w:rsidRPr="00D40A11">
        <w:rPr>
          <w:sz w:val="24"/>
          <w:szCs w:val="24"/>
        </w:rPr>
        <w:t xml:space="preserve">study </w:t>
      </w:r>
      <w:r w:rsidR="00144312">
        <w:rPr>
          <w:sz w:val="24"/>
          <w:szCs w:val="24"/>
        </w:rPr>
        <w:t xml:space="preserve">about </w:t>
      </w:r>
      <w:r w:rsidRPr="00D40A11">
        <w:rPr>
          <w:sz w:val="24"/>
          <w:szCs w:val="24"/>
        </w:rPr>
        <w:t xml:space="preserve">flood management </w:t>
      </w:r>
      <w:r>
        <w:rPr>
          <w:sz w:val="24"/>
          <w:szCs w:val="24"/>
        </w:rPr>
        <w:t xml:space="preserve">in the </w:t>
      </w:r>
      <w:r w:rsidR="0097093F">
        <w:rPr>
          <w:sz w:val="24"/>
          <w:szCs w:val="24"/>
        </w:rPr>
        <w:t>Fenlands</w:t>
      </w:r>
      <w:r w:rsidR="007F2333">
        <w:rPr>
          <w:sz w:val="24"/>
          <w:szCs w:val="24"/>
        </w:rPr>
        <w:t xml:space="preserve"> over the past decade</w:t>
      </w:r>
      <w:r>
        <w:rPr>
          <w:sz w:val="24"/>
          <w:szCs w:val="24"/>
        </w:rPr>
        <w:t xml:space="preserve">. </w:t>
      </w:r>
    </w:p>
    <w:p w:rsidR="003F037F" w:rsidRPr="003F037F" w:rsidRDefault="003F037F" w:rsidP="00025DC5">
      <w:pPr>
        <w:jc w:val="both"/>
        <w:rPr>
          <w:b/>
          <w:sz w:val="24"/>
          <w:szCs w:val="24"/>
        </w:rPr>
      </w:pPr>
      <w:r w:rsidRPr="003F037F">
        <w:rPr>
          <w:b/>
          <w:sz w:val="24"/>
          <w:szCs w:val="24"/>
        </w:rPr>
        <w:t xml:space="preserve">Causes and </w:t>
      </w:r>
      <w:r>
        <w:rPr>
          <w:b/>
          <w:sz w:val="24"/>
          <w:szCs w:val="24"/>
        </w:rPr>
        <w:t>E</w:t>
      </w:r>
      <w:r w:rsidRPr="003F037F">
        <w:rPr>
          <w:b/>
          <w:sz w:val="24"/>
          <w:szCs w:val="24"/>
        </w:rPr>
        <w:t xml:space="preserve">ffects of </w:t>
      </w:r>
      <w:r>
        <w:rPr>
          <w:b/>
          <w:sz w:val="24"/>
          <w:szCs w:val="24"/>
        </w:rPr>
        <w:t>Fl</w:t>
      </w:r>
      <w:r w:rsidRPr="003F037F">
        <w:rPr>
          <w:b/>
          <w:sz w:val="24"/>
          <w:szCs w:val="24"/>
        </w:rPr>
        <w:t>ooding</w:t>
      </w:r>
      <w:r>
        <w:rPr>
          <w:b/>
          <w:sz w:val="24"/>
          <w:szCs w:val="24"/>
        </w:rPr>
        <w:t xml:space="preserve"> in </w:t>
      </w:r>
      <w:r w:rsidR="00CC5C43">
        <w:rPr>
          <w:b/>
          <w:sz w:val="24"/>
          <w:szCs w:val="24"/>
        </w:rPr>
        <w:t>the Fenlands</w:t>
      </w:r>
    </w:p>
    <w:p w:rsidR="006E4496" w:rsidRDefault="00D40A11" w:rsidP="00025DC5">
      <w:pPr>
        <w:jc w:val="both"/>
        <w:rPr>
          <w:sz w:val="24"/>
          <w:szCs w:val="24"/>
        </w:rPr>
      </w:pPr>
      <w:r w:rsidRPr="00BB2607">
        <w:rPr>
          <w:sz w:val="24"/>
          <w:szCs w:val="24"/>
        </w:rPr>
        <w:t>There is a Kahoot quiz link included in the PowerPoint</w:t>
      </w:r>
      <w:r w:rsidR="00BB2607" w:rsidRPr="00BB2607">
        <w:rPr>
          <w:sz w:val="24"/>
          <w:szCs w:val="24"/>
        </w:rPr>
        <w:t xml:space="preserve"> (a Kahoot guidance sheet is included if needed) which</w:t>
      </w:r>
      <w:r w:rsidRPr="00BB2607">
        <w:rPr>
          <w:sz w:val="24"/>
          <w:szCs w:val="24"/>
        </w:rPr>
        <w:t xml:space="preserve"> can make an ideal starter activity, </w:t>
      </w:r>
      <w:r w:rsidR="006E4496" w:rsidRPr="00BB2607">
        <w:rPr>
          <w:sz w:val="24"/>
          <w:szCs w:val="24"/>
        </w:rPr>
        <w:t>this can then be followed with a look at the resource booklet</w:t>
      </w:r>
      <w:r w:rsidR="007F2333" w:rsidRPr="00BB2607">
        <w:rPr>
          <w:sz w:val="24"/>
          <w:szCs w:val="24"/>
        </w:rPr>
        <w:t xml:space="preserve">, </w:t>
      </w:r>
      <w:r w:rsidR="006E4496" w:rsidRPr="00BB2607">
        <w:rPr>
          <w:sz w:val="24"/>
          <w:szCs w:val="24"/>
        </w:rPr>
        <w:t xml:space="preserve">sources A and B </w:t>
      </w:r>
      <w:r w:rsidR="00025DC5" w:rsidRPr="00BB2607">
        <w:rPr>
          <w:sz w:val="24"/>
          <w:szCs w:val="24"/>
        </w:rPr>
        <w:t xml:space="preserve">can be used </w:t>
      </w:r>
      <w:r w:rsidR="006E4496" w:rsidRPr="00BB2607">
        <w:rPr>
          <w:sz w:val="24"/>
          <w:szCs w:val="24"/>
        </w:rPr>
        <w:t xml:space="preserve">to assess </w:t>
      </w:r>
      <w:r w:rsidR="00025DC5" w:rsidRPr="00BB2607">
        <w:rPr>
          <w:sz w:val="24"/>
          <w:szCs w:val="24"/>
        </w:rPr>
        <w:t xml:space="preserve">and generate discussion about </w:t>
      </w:r>
      <w:r w:rsidR="006E4496" w:rsidRPr="00BB2607">
        <w:rPr>
          <w:sz w:val="24"/>
          <w:szCs w:val="24"/>
        </w:rPr>
        <w:t xml:space="preserve">the causes of the </w:t>
      </w:r>
      <w:r w:rsidR="00CC5C43">
        <w:rPr>
          <w:sz w:val="24"/>
          <w:szCs w:val="24"/>
        </w:rPr>
        <w:t>Wainfleet</w:t>
      </w:r>
      <w:r w:rsidR="00025DC5" w:rsidRPr="00BB2607">
        <w:rPr>
          <w:sz w:val="24"/>
          <w:szCs w:val="24"/>
        </w:rPr>
        <w:t xml:space="preserve"> </w:t>
      </w:r>
      <w:r w:rsidR="006E4496" w:rsidRPr="00BB2607">
        <w:rPr>
          <w:sz w:val="24"/>
          <w:szCs w:val="24"/>
        </w:rPr>
        <w:t>floods. The Impacts caused by 201</w:t>
      </w:r>
      <w:r w:rsidR="00CC5C43">
        <w:rPr>
          <w:sz w:val="24"/>
          <w:szCs w:val="24"/>
        </w:rPr>
        <w:t>9</w:t>
      </w:r>
      <w:r w:rsidR="006E4496" w:rsidRPr="00BB2607">
        <w:rPr>
          <w:sz w:val="24"/>
          <w:szCs w:val="24"/>
        </w:rPr>
        <w:t xml:space="preserve"> </w:t>
      </w:r>
      <w:r w:rsidR="00CC5C43">
        <w:rPr>
          <w:sz w:val="24"/>
          <w:szCs w:val="24"/>
        </w:rPr>
        <w:t xml:space="preserve">Wainfleet </w:t>
      </w:r>
      <w:r w:rsidR="006E4496" w:rsidRPr="00BB2607">
        <w:rPr>
          <w:sz w:val="24"/>
          <w:szCs w:val="24"/>
        </w:rPr>
        <w:t>flood</w:t>
      </w:r>
      <w:bookmarkStart w:id="0" w:name="_GoBack"/>
      <w:bookmarkEnd w:id="0"/>
      <w:r w:rsidR="006E4496" w:rsidRPr="00BB2607">
        <w:rPr>
          <w:sz w:val="24"/>
          <w:szCs w:val="24"/>
        </w:rPr>
        <w:t>s resource includes statements with facts and figures on that students</w:t>
      </w:r>
      <w:r w:rsidR="006E4496">
        <w:rPr>
          <w:sz w:val="24"/>
          <w:szCs w:val="24"/>
        </w:rPr>
        <w:t xml:space="preserve"> can read and be challenged in pairs to put into groups social, economic and environmental.</w:t>
      </w:r>
    </w:p>
    <w:p w:rsidR="003F037F" w:rsidRPr="00441CDE" w:rsidRDefault="003F037F" w:rsidP="00025DC5">
      <w:pPr>
        <w:jc w:val="both"/>
        <w:rPr>
          <w:b/>
          <w:sz w:val="24"/>
          <w:szCs w:val="24"/>
        </w:rPr>
      </w:pPr>
      <w:r w:rsidRPr="00441CDE">
        <w:rPr>
          <w:b/>
          <w:sz w:val="24"/>
          <w:szCs w:val="24"/>
        </w:rPr>
        <w:t xml:space="preserve">Solutions to Flooding in </w:t>
      </w:r>
      <w:r w:rsidR="00CC5C43">
        <w:rPr>
          <w:b/>
          <w:sz w:val="24"/>
          <w:szCs w:val="24"/>
        </w:rPr>
        <w:t>Fenlands</w:t>
      </w:r>
    </w:p>
    <w:p w:rsidR="006E4496" w:rsidRDefault="00025DC5" w:rsidP="00025DC5">
      <w:pPr>
        <w:jc w:val="both"/>
        <w:rPr>
          <w:sz w:val="24"/>
          <w:szCs w:val="24"/>
        </w:rPr>
      </w:pPr>
      <w:r w:rsidRPr="00025DC5">
        <w:rPr>
          <w:sz w:val="24"/>
          <w:szCs w:val="24"/>
        </w:rPr>
        <w:t>In addition, the</w:t>
      </w:r>
      <w:r>
        <w:rPr>
          <w:b/>
          <w:sz w:val="24"/>
          <w:szCs w:val="24"/>
        </w:rPr>
        <w:t xml:space="preserve"> </w:t>
      </w:r>
      <w:r w:rsidR="00D40A11">
        <w:rPr>
          <w:sz w:val="24"/>
          <w:szCs w:val="24"/>
        </w:rPr>
        <w:t>worksheet exercise</w:t>
      </w:r>
      <w:r>
        <w:rPr>
          <w:sz w:val="24"/>
          <w:szCs w:val="24"/>
        </w:rPr>
        <w:t xml:space="preserve"> can be used alongside the resource booklet</w:t>
      </w:r>
      <w:r w:rsidR="00447B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F2505">
        <w:rPr>
          <w:sz w:val="24"/>
          <w:szCs w:val="24"/>
        </w:rPr>
        <w:t>as well as</w:t>
      </w:r>
      <w:r>
        <w:rPr>
          <w:sz w:val="24"/>
          <w:szCs w:val="24"/>
        </w:rPr>
        <w:t xml:space="preserve"> </w:t>
      </w:r>
      <w:r w:rsidR="009F2505">
        <w:rPr>
          <w:sz w:val="24"/>
          <w:szCs w:val="24"/>
        </w:rPr>
        <w:t>S</w:t>
      </w:r>
      <w:r>
        <w:rPr>
          <w:sz w:val="24"/>
          <w:szCs w:val="24"/>
        </w:rPr>
        <w:t>ource C</w:t>
      </w:r>
      <w:r w:rsidR="009F2505">
        <w:rPr>
          <w:sz w:val="24"/>
          <w:szCs w:val="24"/>
        </w:rPr>
        <w:t xml:space="preserve">- Flood Management Strategies in the Fens </w:t>
      </w:r>
      <w:r>
        <w:rPr>
          <w:sz w:val="24"/>
          <w:szCs w:val="24"/>
        </w:rPr>
        <w:t>being a fantastic way of learning about the very latest strategies being used to manage water levels sustainably for the future.</w:t>
      </w:r>
      <w:r w:rsidR="00D40A11">
        <w:rPr>
          <w:sz w:val="24"/>
          <w:szCs w:val="24"/>
        </w:rPr>
        <w:t xml:space="preserve"> </w:t>
      </w:r>
      <w:r>
        <w:rPr>
          <w:sz w:val="24"/>
          <w:szCs w:val="24"/>
        </w:rPr>
        <w:t>The worksheet is</w:t>
      </w:r>
      <w:r w:rsidR="00447BA4">
        <w:rPr>
          <w:sz w:val="24"/>
          <w:szCs w:val="24"/>
        </w:rPr>
        <w:t xml:space="preserve"> designed </w:t>
      </w:r>
      <w:r w:rsidR="00D40A11">
        <w:rPr>
          <w:sz w:val="24"/>
          <w:szCs w:val="24"/>
        </w:rPr>
        <w:t>to review what has already been taught previously about factors affecting water levels and the flood hydrograph</w:t>
      </w:r>
      <w:r w:rsidR="00447BA4">
        <w:rPr>
          <w:sz w:val="24"/>
          <w:szCs w:val="24"/>
        </w:rPr>
        <w:t>, answers to the questions in the worksheet are all in the PowerPoint and can be gone through as a class to check their ans</w:t>
      </w:r>
      <w:r w:rsidR="00674838">
        <w:rPr>
          <w:sz w:val="24"/>
          <w:szCs w:val="24"/>
        </w:rPr>
        <w:t>wers.</w:t>
      </w:r>
    </w:p>
    <w:p w:rsidR="00441CDE" w:rsidRPr="00441CDE" w:rsidRDefault="00441CDE" w:rsidP="00025DC5">
      <w:pPr>
        <w:jc w:val="both"/>
        <w:rPr>
          <w:b/>
          <w:sz w:val="24"/>
          <w:szCs w:val="24"/>
        </w:rPr>
      </w:pPr>
      <w:r w:rsidRPr="00441CDE">
        <w:rPr>
          <w:b/>
          <w:sz w:val="24"/>
          <w:szCs w:val="24"/>
        </w:rPr>
        <w:t>Who is Responsible for Manag</w:t>
      </w:r>
      <w:r>
        <w:rPr>
          <w:b/>
          <w:sz w:val="24"/>
          <w:szCs w:val="24"/>
        </w:rPr>
        <w:t>ing</w:t>
      </w:r>
      <w:r w:rsidRPr="00441CDE">
        <w:rPr>
          <w:b/>
          <w:sz w:val="24"/>
          <w:szCs w:val="24"/>
        </w:rPr>
        <w:t xml:space="preserve"> Flooding in </w:t>
      </w:r>
      <w:r w:rsidR="00CC5C43">
        <w:rPr>
          <w:b/>
          <w:sz w:val="24"/>
          <w:szCs w:val="24"/>
        </w:rPr>
        <w:t>the Fenlands</w:t>
      </w:r>
      <w:r w:rsidRPr="00441CDE">
        <w:rPr>
          <w:b/>
          <w:sz w:val="24"/>
          <w:szCs w:val="24"/>
        </w:rPr>
        <w:t>?</w:t>
      </w:r>
    </w:p>
    <w:p w:rsidR="00BB2607" w:rsidRDefault="00BB2607" w:rsidP="00025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41CDE">
        <w:rPr>
          <w:sz w:val="24"/>
          <w:szCs w:val="24"/>
        </w:rPr>
        <w:t>Level students</w:t>
      </w:r>
      <w:r>
        <w:rPr>
          <w:sz w:val="24"/>
          <w:szCs w:val="24"/>
        </w:rPr>
        <w:t xml:space="preserve"> </w:t>
      </w:r>
      <w:r w:rsidR="00441CDE">
        <w:rPr>
          <w:sz w:val="24"/>
          <w:szCs w:val="24"/>
        </w:rPr>
        <w:t xml:space="preserve">may find </w:t>
      </w:r>
      <w:r>
        <w:rPr>
          <w:sz w:val="24"/>
          <w:szCs w:val="24"/>
        </w:rPr>
        <w:t xml:space="preserve">the </w:t>
      </w:r>
      <w:r w:rsidR="009F2505">
        <w:rPr>
          <w:sz w:val="24"/>
          <w:szCs w:val="24"/>
        </w:rPr>
        <w:t>W</w:t>
      </w:r>
      <w:r>
        <w:rPr>
          <w:sz w:val="24"/>
          <w:szCs w:val="24"/>
        </w:rPr>
        <w:t xml:space="preserve">ater </w:t>
      </w:r>
      <w:r w:rsidR="009F2505">
        <w:rPr>
          <w:sz w:val="24"/>
          <w:szCs w:val="24"/>
        </w:rPr>
        <w:t>M</w:t>
      </w:r>
      <w:r>
        <w:rPr>
          <w:sz w:val="24"/>
          <w:szCs w:val="24"/>
        </w:rPr>
        <w:t xml:space="preserve">anagement </w:t>
      </w:r>
      <w:r w:rsidR="009F2505">
        <w:rPr>
          <w:sz w:val="24"/>
          <w:szCs w:val="24"/>
        </w:rPr>
        <w:t>C</w:t>
      </w:r>
      <w:r>
        <w:rPr>
          <w:sz w:val="24"/>
          <w:szCs w:val="24"/>
        </w:rPr>
        <w:t xml:space="preserve">ards are a useful activity where </w:t>
      </w:r>
      <w:r w:rsidR="00441CDE">
        <w:rPr>
          <w:sz w:val="24"/>
          <w:szCs w:val="24"/>
        </w:rPr>
        <w:t xml:space="preserve">pairs or small groups of students </w:t>
      </w:r>
      <w:r>
        <w:rPr>
          <w:sz w:val="24"/>
          <w:szCs w:val="24"/>
        </w:rPr>
        <w:t xml:space="preserve">can discover </w:t>
      </w:r>
      <w:r w:rsidR="00441CDE">
        <w:rPr>
          <w:sz w:val="24"/>
          <w:szCs w:val="24"/>
        </w:rPr>
        <w:t>that flood management is the responsibility of many organisations collaborating together. A mature discussion can be generated about what challenges this situation can lead to during times of emergency. Students simply need to</w:t>
      </w:r>
      <w:r>
        <w:rPr>
          <w:sz w:val="24"/>
          <w:szCs w:val="24"/>
        </w:rPr>
        <w:t xml:space="preserve"> match up the type of organisation with a definition and find the corresponding picture of an example of each organisation within the </w:t>
      </w:r>
      <w:r w:rsidR="00CC5C43">
        <w:rPr>
          <w:sz w:val="24"/>
          <w:szCs w:val="24"/>
        </w:rPr>
        <w:t>Fenlands</w:t>
      </w:r>
      <w:r>
        <w:rPr>
          <w:sz w:val="24"/>
          <w:szCs w:val="24"/>
        </w:rPr>
        <w:t>.</w:t>
      </w:r>
    </w:p>
    <w:p w:rsidR="00BB2607" w:rsidRDefault="00BB2607" w:rsidP="00907F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discussion can then be generated about how all these organisations </w:t>
      </w:r>
      <w:r w:rsidRPr="00C82B0A">
        <w:rPr>
          <w:sz w:val="24"/>
          <w:szCs w:val="24"/>
        </w:rPr>
        <w:t xml:space="preserve">join forces and team up in organisations called </w:t>
      </w:r>
      <w:r w:rsidRPr="00907F8B">
        <w:rPr>
          <w:sz w:val="24"/>
          <w:szCs w:val="24"/>
        </w:rPr>
        <w:t>Internal Drainage Boards (IDB)</w:t>
      </w:r>
      <w:r w:rsidR="00B555EB">
        <w:rPr>
          <w:sz w:val="24"/>
          <w:szCs w:val="24"/>
        </w:rPr>
        <w:t>and that</w:t>
      </w:r>
      <w:r w:rsidRPr="00C82B0A">
        <w:rPr>
          <w:sz w:val="24"/>
          <w:szCs w:val="24"/>
        </w:rPr>
        <w:t xml:space="preserve"> many low-lying parts of England would be permanently flooded if IDBs would stop working.</w:t>
      </w:r>
    </w:p>
    <w:p w:rsidR="00144312" w:rsidRDefault="00144312" w:rsidP="00907F8B">
      <w:pPr>
        <w:spacing w:after="0"/>
        <w:jc w:val="both"/>
        <w:rPr>
          <w:sz w:val="24"/>
          <w:szCs w:val="24"/>
        </w:rPr>
      </w:pPr>
    </w:p>
    <w:p w:rsidR="00144312" w:rsidRPr="00144312" w:rsidRDefault="00144312" w:rsidP="00907F8B">
      <w:pPr>
        <w:spacing w:after="0"/>
        <w:jc w:val="both"/>
        <w:rPr>
          <w:b/>
          <w:sz w:val="24"/>
          <w:szCs w:val="24"/>
        </w:rPr>
      </w:pPr>
      <w:r w:rsidRPr="00144312">
        <w:rPr>
          <w:b/>
          <w:sz w:val="24"/>
          <w:szCs w:val="24"/>
        </w:rPr>
        <w:t>Why not follow up with a Field Trip?</w:t>
      </w:r>
    </w:p>
    <w:p w:rsidR="00907F8B" w:rsidRDefault="00907F8B" w:rsidP="00907F8B">
      <w:pPr>
        <w:spacing w:after="0"/>
        <w:jc w:val="both"/>
        <w:rPr>
          <w:sz w:val="24"/>
          <w:szCs w:val="24"/>
        </w:rPr>
      </w:pPr>
    </w:p>
    <w:p w:rsidR="00907F8B" w:rsidRDefault="00B555EB" w:rsidP="00B555EB">
      <w:pPr>
        <w:jc w:val="both"/>
        <w:rPr>
          <w:sz w:val="24"/>
          <w:szCs w:val="24"/>
        </w:rPr>
      </w:pPr>
      <w:r w:rsidRPr="00B555EB">
        <w:rPr>
          <w:bCs/>
          <w:sz w:val="24"/>
          <w:szCs w:val="24"/>
        </w:rPr>
        <w:t xml:space="preserve">Why not </w:t>
      </w:r>
      <w:r>
        <w:rPr>
          <w:bCs/>
          <w:sz w:val="24"/>
          <w:szCs w:val="24"/>
        </w:rPr>
        <w:t>organise</w:t>
      </w:r>
      <w:r w:rsidRPr="00B555EB">
        <w:rPr>
          <w:bCs/>
          <w:sz w:val="24"/>
          <w:szCs w:val="24"/>
        </w:rPr>
        <w:t xml:space="preserve"> a </w:t>
      </w:r>
      <w:r w:rsidR="00907F8B">
        <w:rPr>
          <w:bCs/>
          <w:sz w:val="24"/>
          <w:szCs w:val="24"/>
        </w:rPr>
        <w:t xml:space="preserve">field </w:t>
      </w:r>
      <w:r>
        <w:rPr>
          <w:bCs/>
          <w:sz w:val="24"/>
          <w:szCs w:val="24"/>
        </w:rPr>
        <w:t>t</w:t>
      </w:r>
      <w:r w:rsidRPr="00B555EB">
        <w:rPr>
          <w:bCs/>
          <w:sz w:val="24"/>
          <w:szCs w:val="24"/>
        </w:rPr>
        <w:t xml:space="preserve">rip to your local internal drainage board to hear from drainage engineers first-hand about the strategies </w:t>
      </w:r>
      <w:r>
        <w:rPr>
          <w:bCs/>
          <w:sz w:val="24"/>
          <w:szCs w:val="24"/>
        </w:rPr>
        <w:t xml:space="preserve">that they </w:t>
      </w:r>
      <w:r w:rsidRPr="00B555EB">
        <w:rPr>
          <w:bCs/>
          <w:sz w:val="24"/>
          <w:szCs w:val="24"/>
        </w:rPr>
        <w:t>use</w:t>
      </w:r>
      <w:r>
        <w:rPr>
          <w:bCs/>
          <w:sz w:val="24"/>
          <w:szCs w:val="24"/>
        </w:rPr>
        <w:t xml:space="preserve"> to</w:t>
      </w:r>
      <w:r w:rsidRPr="00B555EB">
        <w:rPr>
          <w:sz w:val="24"/>
          <w:szCs w:val="24"/>
        </w:rPr>
        <w:t xml:space="preserve"> carefully manage water levels to reduce flood risk and protect people, property and </w:t>
      </w:r>
      <w:r w:rsidR="00907F8B" w:rsidRPr="00B555EB">
        <w:rPr>
          <w:sz w:val="24"/>
          <w:szCs w:val="24"/>
        </w:rPr>
        <w:t>infrastructure</w:t>
      </w:r>
      <w:r w:rsidR="00907F8B">
        <w:rPr>
          <w:sz w:val="24"/>
          <w:szCs w:val="24"/>
        </w:rPr>
        <w:t>? Engineers</w:t>
      </w:r>
      <w:r w:rsidRPr="00B555EB">
        <w:rPr>
          <w:sz w:val="24"/>
          <w:szCs w:val="24"/>
        </w:rPr>
        <w:t xml:space="preserve"> </w:t>
      </w:r>
      <w:r w:rsidR="00907F8B">
        <w:rPr>
          <w:sz w:val="24"/>
          <w:szCs w:val="24"/>
        </w:rPr>
        <w:t xml:space="preserve">will be able to show the students examples of how flood management is achieved </w:t>
      </w:r>
      <w:r w:rsidRPr="00B555EB">
        <w:rPr>
          <w:sz w:val="24"/>
          <w:szCs w:val="24"/>
        </w:rPr>
        <w:t>whilst balancing the needs of society and the economy with the environment</w:t>
      </w:r>
      <w:r w:rsidR="00907F8B">
        <w:rPr>
          <w:sz w:val="24"/>
          <w:szCs w:val="24"/>
        </w:rPr>
        <w:t>, and students will be able to ask questions and learn about possible careers in the important role in sustainable land management.</w:t>
      </w:r>
    </w:p>
    <w:p w:rsidR="00B555EB" w:rsidRPr="00D40A11" w:rsidRDefault="00B555EB" w:rsidP="00025DC5">
      <w:pPr>
        <w:jc w:val="both"/>
        <w:rPr>
          <w:sz w:val="24"/>
          <w:szCs w:val="24"/>
        </w:rPr>
      </w:pPr>
      <w:r w:rsidRPr="00B555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See </w:t>
      </w:r>
      <w:r w:rsidRPr="00144312">
        <w:rPr>
          <w:b/>
          <w:sz w:val="24"/>
          <w:szCs w:val="24"/>
        </w:rPr>
        <w:t>Visit Your Local Drainage Engineer</w:t>
      </w:r>
      <w:r>
        <w:rPr>
          <w:sz w:val="24"/>
          <w:szCs w:val="24"/>
        </w:rPr>
        <w:t xml:space="preserve"> for everything you need to know to organise a trip.</w:t>
      </w:r>
    </w:p>
    <w:sectPr w:rsidR="00B555EB" w:rsidRPr="00D4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11"/>
    <w:rsid w:val="00025DC5"/>
    <w:rsid w:val="00144312"/>
    <w:rsid w:val="003F037F"/>
    <w:rsid w:val="00441CDE"/>
    <w:rsid w:val="00447BA4"/>
    <w:rsid w:val="00674838"/>
    <w:rsid w:val="006E4496"/>
    <w:rsid w:val="007F2333"/>
    <w:rsid w:val="00907F8B"/>
    <w:rsid w:val="0097093F"/>
    <w:rsid w:val="009F2505"/>
    <w:rsid w:val="00B555EB"/>
    <w:rsid w:val="00BB2607"/>
    <w:rsid w:val="00CC5C43"/>
    <w:rsid w:val="00D40A11"/>
    <w:rsid w:val="00E323A9"/>
    <w:rsid w:val="00E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C775"/>
  <w15:chartTrackingRefBased/>
  <w15:docId w15:val="{20B64AB5-C106-4566-8A4A-0BD8491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Lake</dc:creator>
  <cp:keywords/>
  <dc:description/>
  <cp:lastModifiedBy>Elizabeth Lake</cp:lastModifiedBy>
  <cp:revision>2</cp:revision>
  <dcterms:created xsi:type="dcterms:W3CDTF">2022-04-22T05:24:00Z</dcterms:created>
  <dcterms:modified xsi:type="dcterms:W3CDTF">2022-04-22T05:24:00Z</dcterms:modified>
</cp:coreProperties>
</file>